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Информация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ведомственного контроля в сфере закупок в отношении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областного государственного казенного учреждения «Центр занятости населения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Еврейской автономной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» за 2025 год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графиком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проведения ведомственного контроля в сфере закупок для обеспечения государственных нужд в отношении учреждения, функции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и полномочия учредителя которого осуществляет департамент по труду и занятости населения правительства Еврейской автономной области – областного государственного казенного учреждения «Центр занятости населения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Еврейской автономной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ласти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» на 202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год, утвержденным приказом департамента по труду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и занятости населения правительства Еврейской автономной области от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.12.20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138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, а также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департамента по труду и занятости населения правительства Еврейской автономной области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 проведении плановой документарной проверки в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сфере закупок для обеспечения государственных нужд»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проведен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а плановая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документарная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проверки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в сфере закупок для обеспечения государственных нужд областного государственного казенного учреждения «Центр занятости населения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Еврейской автономной области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» (далее – ОГКУ ЦЗН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ЕАО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)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проверяемый период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проверены сведения, </w:t>
      </w:r>
      <w:r>
        <w:rPr>
          <w:rFonts w:ascii="Times New Roman" w:hAnsi="Times New Roman"/>
          <w:sz w:val="26"/>
          <w:szCs w:val="26"/>
        </w:rPr>
        <w:t xml:space="preserve">в части: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соблюдения ограничений и запретов, установленных законодательством Российской Федерации о контрактной системе в сфере закупок;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/>
      <w:bookmarkStart w:id="0" w:name="P65"/>
      <w:r/>
      <w:bookmarkEnd w:id="0"/>
      <w:r>
        <w:rPr>
          <w:rFonts w:ascii="Times New Roman" w:hAnsi="Times New Roman"/>
          <w:sz w:val="26"/>
          <w:szCs w:val="26"/>
        </w:rPr>
        <w:t xml:space="preserve">2)</w:t>
      </w:r>
      <w:r>
        <w:rPr>
          <w:rFonts w:ascii="Times New Roman" w:hAnsi="Times New Roman"/>
          <w:sz w:val="26"/>
          <w:szCs w:val="26"/>
        </w:rPr>
        <w:t xml:space="preserve"> соблюдения требований к обоснованию закупок и обоснованности закупок;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/>
      <w:bookmarkStart w:id="1" w:name="P67"/>
      <w:r/>
      <w:bookmarkEnd w:id="1"/>
      <w:r>
        <w:rPr>
          <w:rFonts w:ascii="Times New Roman" w:hAnsi="Times New Roman"/>
          <w:sz w:val="26"/>
          <w:szCs w:val="26"/>
        </w:rPr>
        <w:t xml:space="preserve">3)</w:t>
      </w:r>
      <w:r>
        <w:rPr>
          <w:rFonts w:ascii="Times New Roman" w:hAnsi="Times New Roman"/>
          <w:sz w:val="26"/>
          <w:szCs w:val="26"/>
        </w:rPr>
        <w:t xml:space="preserve"> соблюдения требований о нормировании в сфере закупок;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</w:t>
      </w:r>
      <w:r>
        <w:rPr>
          <w:rFonts w:ascii="Times New Roman" w:hAnsi="Times New Roman"/>
          <w:sz w:val="26"/>
          <w:szCs w:val="26"/>
        </w:rPr>
        <w:t xml:space="preserve">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/>
      <w:bookmarkStart w:id="2" w:name="P70"/>
      <w:r/>
      <w:bookmarkEnd w:id="2"/>
      <w:r>
        <w:rPr>
          <w:rFonts w:ascii="Times New Roman" w:hAnsi="Times New Roman"/>
          <w:sz w:val="26"/>
          <w:szCs w:val="26"/>
        </w:rPr>
        <w:t xml:space="preserve">5)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/>
      <w:bookmarkStart w:id="3" w:name="P72"/>
      <w:r/>
      <w:bookmarkEnd w:id="3"/>
      <w:r>
        <w:rPr>
          <w:rFonts w:ascii="Times New Roman" w:hAnsi="Times New Roman"/>
          <w:sz w:val="26"/>
          <w:szCs w:val="26"/>
        </w:rPr>
        <w:t xml:space="preserve">6)</w:t>
      </w:r>
      <w:r>
        <w:rPr>
          <w:rFonts w:ascii="Times New Roman" w:hAnsi="Times New Roman"/>
          <w:sz w:val="26"/>
          <w:szCs w:val="26"/>
        </w:rPr>
        <w:t xml:space="preserve"> соответствия информации об идентификационных кодах закупок </w:t>
      </w:r>
      <w:r>
        <w:rPr>
          <w:rFonts w:ascii="Times New Roman" w:hAnsi="Times New Roman"/>
          <w:sz w:val="26"/>
          <w:szCs w:val="26"/>
        </w:rPr>
        <w:t xml:space="preserve">и не превышения объема финансового обеспечения для осуществления данных закупок, содержащейся: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планах-графиках, – информации, содержащейся в планах закупок;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протоколах определения поставщиков (подрядчиков, исполнителей), – информации, содержащейся в документации о закупках;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условиях проектов контрактов, направляемых участникам закупок, </w:t>
      </w:r>
      <w:r>
        <w:rPr>
          <w:rFonts w:ascii="Times New Roman" w:hAnsi="Times New Roman"/>
          <w:sz w:val="26"/>
          <w:szCs w:val="26"/>
        </w:rPr>
        <w:t xml:space="preserve">с которыми заключаются контракты, – информации, содержащейся в протоколах определения поставщиков (подрядчиков, исполнителей);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реестре контрактов, заключенных заказчиками, – условиям контрактов;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</w:t>
      </w:r>
      <w:r>
        <w:rPr>
          <w:rFonts w:ascii="Times New Roman" w:hAnsi="Times New Roman"/>
          <w:sz w:val="26"/>
          <w:szCs w:val="26"/>
        </w:rPr>
        <w:t xml:space="preserve">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</w:t>
      </w:r>
      <w:r>
        <w:rPr>
          <w:rFonts w:ascii="Times New Roman" w:hAnsi="Times New Roman"/>
          <w:sz w:val="26"/>
          <w:szCs w:val="26"/>
        </w:rPr>
        <w:t xml:space="preserve"> соблюдения требований по определению поставщика (подрядчика, исполнителя);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/>
      <w:bookmarkStart w:id="4" w:name="_GoBack"/>
      <w:r>
        <w:rPr>
          <w:rFonts w:ascii="Times New Roman" w:hAnsi="Times New Roman"/>
          <w:sz w:val="26"/>
          <w:szCs w:val="26"/>
        </w:rPr>
        <w:t xml:space="preserve">10)</w:t>
      </w:r>
      <w:r>
        <w:rPr>
          <w:rFonts w:ascii="Times New Roman" w:hAnsi="Times New Roman"/>
          <w:sz w:val="26"/>
          <w:szCs w:val="26"/>
        </w:rPr>
        <w:t xml:space="preserve">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>
        <w:rPr>
          <w:rFonts w:ascii="Times New Roman" w:hAnsi="Times New Roman"/>
          <w:sz w:val="26"/>
          <w:szCs w:val="26"/>
        </w:rPr>
        <w:t xml:space="preserve">соответствия поставленного товара, выполненной работы (ее результата) или оказанной услуги условиям контракта;</w:t>
      </w:r>
      <w:bookmarkEnd w:id="4"/>
      <w:r/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12) </w:t>
      </w:r>
      <w:r>
        <w:rPr>
          <w:rFonts w:ascii="Times New Roman" w:hAnsi="Times New Roman"/>
          <w:sz w:val="26"/>
          <w:szCs w:val="26"/>
        </w:rPr>
        <w:t xml:space="preserve"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13) </w:t>
      </w:r>
      <w:r>
        <w:rPr>
          <w:rFonts w:ascii="Times New Roman" w:hAnsi="Times New Roman"/>
          <w:sz w:val="26"/>
          <w:szCs w:val="26"/>
        </w:rPr>
        <w:t xml:space="preserve">соответствия использования поставленного товара, выполненной работы </w:t>
      </w:r>
      <w:r>
        <w:rPr>
          <w:rFonts w:ascii="Times New Roman" w:hAnsi="Times New Roman"/>
          <w:sz w:val="26"/>
          <w:szCs w:val="26"/>
        </w:rPr>
        <w:t xml:space="preserve">(ее результата) или оказанной услуги целям осуществления закупки.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результате проверки установлено, что все закупки в проверяемом периоде осуществлялись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ОГКУ ЦЗН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ЕАО </w:t>
      </w:r>
      <w:r>
        <w:rPr>
          <w:rFonts w:ascii="Times New Roman" w:hAnsi="Times New Roman"/>
          <w:sz w:val="26"/>
          <w:szCs w:val="26"/>
        </w:rPr>
        <w:t xml:space="preserve">для достижения целей и реализации мероприятий государственной программы Еврейской автономной области «Содействие занятости населения и обеспечение безопасности труда» на 20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4</w:t>
      </w:r>
      <w:r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 годы, утвержденной постановлением правительства области от 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1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12</w:t>
      </w:r>
      <w:r>
        <w:rPr>
          <w:rFonts w:ascii="Times New Roman" w:hAnsi="Times New Roman"/>
          <w:sz w:val="26"/>
          <w:szCs w:val="26"/>
        </w:rPr>
        <w:t xml:space="preserve">.20</w:t>
      </w:r>
      <w:r>
        <w:rPr>
          <w:rFonts w:ascii="Times New Roman" w:hAnsi="Times New Roman"/>
          <w:sz w:val="26"/>
          <w:szCs w:val="26"/>
        </w:rPr>
        <w:t xml:space="preserve">23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571</w:t>
      </w:r>
      <w:r>
        <w:rPr>
          <w:rFonts w:ascii="Times New Roman" w:hAnsi="Times New Roman"/>
          <w:sz w:val="26"/>
          <w:szCs w:val="26"/>
        </w:rPr>
        <w:t xml:space="preserve">-пп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соответствии </w:t>
      </w:r>
      <w:r>
        <w:rPr>
          <w:rFonts w:ascii="Times New Roman" w:hAnsi="Times New Roman"/>
          <w:sz w:val="26"/>
          <w:szCs w:val="26"/>
        </w:rPr>
        <w:t xml:space="preserve">с требованиями норм Федерального закона от 05.04.2013 № 44-ФЗ </w:t>
      </w:r>
      <w:r>
        <w:rPr>
          <w:rFonts w:ascii="Times New Roman" w:hAnsi="Times New Roman"/>
          <w:sz w:val="26"/>
          <w:szCs w:val="26"/>
        </w:rPr>
        <w:t xml:space="preserve">«О контрактной системе в сфере закупок товаров</w:t>
      </w:r>
      <w:r>
        <w:rPr>
          <w:rFonts w:ascii="Times New Roman" w:hAnsi="Times New Roman"/>
          <w:sz w:val="26"/>
          <w:szCs w:val="26"/>
        </w:rPr>
        <w:t xml:space="preserve">, работ услуг для обеспечения государственных и муниципальных нужд» и иных федеральных и региональных подзаконных актов.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ОГКУ ЦЗН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ЕАО </w:t>
      </w:r>
      <w:r>
        <w:rPr>
          <w:rFonts w:ascii="Times New Roman" w:hAnsi="Times New Roman"/>
          <w:sz w:val="26"/>
          <w:szCs w:val="26"/>
        </w:rPr>
        <w:t xml:space="preserve">осуществляли</w:t>
      </w:r>
      <w:r>
        <w:rPr>
          <w:rFonts w:ascii="Times New Roman" w:hAnsi="Times New Roman"/>
          <w:sz w:val="26"/>
          <w:szCs w:val="26"/>
        </w:rPr>
        <w:t xml:space="preserve">сь закупки, предметом которых являлись товары, включенные в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утвержденный приказом </w:t>
      </w:r>
      <w:r>
        <w:rPr>
          <w:rFonts w:ascii="Times New Roman" w:hAnsi="Times New Roman"/>
          <w:sz w:val="26"/>
          <w:szCs w:val="26"/>
        </w:rPr>
        <w:t xml:space="preserve">департамента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0</w:t>
      </w:r>
      <w:r>
        <w:rPr>
          <w:rFonts w:ascii="Times New Roman" w:hAnsi="Times New Roman"/>
          <w:sz w:val="26"/>
          <w:szCs w:val="26"/>
        </w:rPr>
        <w:t xml:space="preserve">6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07</w:t>
      </w:r>
      <w:r>
        <w:rPr>
          <w:rFonts w:ascii="Times New Roman" w:hAnsi="Times New Roman"/>
          <w:sz w:val="26"/>
          <w:szCs w:val="26"/>
        </w:rPr>
        <w:t xml:space="preserve">.20</w:t>
      </w:r>
      <w:r>
        <w:rPr>
          <w:rFonts w:ascii="Times New Roman" w:hAnsi="Times New Roman"/>
          <w:sz w:val="26"/>
          <w:szCs w:val="26"/>
        </w:rPr>
        <w:t xml:space="preserve">23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106/23</w:t>
      </w:r>
      <w:r>
        <w:rPr>
          <w:rFonts w:ascii="Times New Roman" w:hAnsi="Times New Roman"/>
          <w:sz w:val="26"/>
          <w:szCs w:val="26"/>
        </w:rPr>
        <w:t xml:space="preserve"> «Об утверждении требований к закупаемым </w:t>
      </w:r>
      <w:r>
        <w:rPr>
          <w:rFonts w:ascii="Times New Roman" w:hAnsi="Times New Roman"/>
          <w:sz w:val="26"/>
          <w:szCs w:val="26"/>
        </w:rPr>
        <w:t xml:space="preserve">департаментом по труду и</w:t>
      </w:r>
      <w:r>
        <w:rPr>
          <w:rFonts w:ascii="Times New Roman" w:hAnsi="Times New Roman"/>
          <w:sz w:val="26"/>
          <w:szCs w:val="26"/>
        </w:rPr>
        <w:t xml:space="preserve"> занятости населения правительства Еврейской автономной области, включая областные</w:t>
      </w:r>
      <w:r>
        <w:rPr>
          <w:rFonts w:ascii="Times New Roman" w:hAnsi="Times New Roman"/>
          <w:sz w:val="26"/>
          <w:szCs w:val="26"/>
        </w:rPr>
        <w:t xml:space="preserve"> государственные казенные учреждения «Центры занятости населения</w:t>
      </w:r>
      <w:r>
        <w:rPr>
          <w:rFonts w:ascii="Times New Roman" w:hAnsi="Times New Roman"/>
          <w:sz w:val="26"/>
          <w:szCs w:val="26"/>
        </w:rPr>
        <w:t xml:space="preserve"> Еврейской автономной области</w:t>
      </w:r>
      <w:r>
        <w:rPr>
          <w:rFonts w:ascii="Times New Roman" w:hAnsi="Times New Roman"/>
          <w:sz w:val="26"/>
          <w:szCs w:val="26"/>
        </w:rPr>
        <w:t xml:space="preserve">» отдельным видам товаров, работ, услуг </w:t>
      </w:r>
      <w:r>
        <w:rPr>
          <w:rFonts w:ascii="Times New Roman" w:hAnsi="Times New Roman"/>
          <w:sz w:val="26"/>
          <w:szCs w:val="26"/>
        </w:rPr>
        <w:t xml:space="preserve">(в том числе предельные цены товаров, работ, услуг)». </w:t>
      </w:r>
      <w:r>
        <w:rPr>
          <w:rFonts w:ascii="Times New Roman" w:hAnsi="Times New Roman"/>
          <w:sz w:val="26"/>
          <w:szCs w:val="26"/>
        </w:rPr>
      </w:r>
    </w:p>
    <w:p>
      <w:pPr>
        <w:pStyle w:val="67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Поставленные товары, выполненные работы и оказанные услуги соответствуют целям осуществления закупок.</w:t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По результатам проверки подготовлен акт.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851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5400367"/>
      <w:docPartObj>
        <w:docPartGallery w:val="Page Numbers (Top of Page)"/>
        <w:docPartUnique w:val="true"/>
      </w:docPartObj>
      <w:rPr/>
    </w:sdtPr>
    <w:sdtContent>
      <w:p>
        <w:pPr>
          <w:pStyle w:val="67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7"/>
    <w:uiPriority w:val="99"/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4"/>
    <w:link w:val="4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Header"/>
    <w:basedOn w:val="673"/>
    <w:link w:val="6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4"/>
    <w:link w:val="677"/>
    <w:uiPriority w:val="99"/>
  </w:style>
  <w:style w:type="paragraph" w:styleId="6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680">
    <w:name w:val="Balloon Text"/>
    <w:basedOn w:val="673"/>
    <w:link w:val="6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4"/>
    <w:link w:val="68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FEAF-0718-4AF9-9F28-86FA5C0E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Кауфман О.В.</dc:creator>
  <cp:revision>10</cp:revision>
  <dcterms:created xsi:type="dcterms:W3CDTF">2020-12-15T02:02:00Z</dcterms:created>
  <dcterms:modified xsi:type="dcterms:W3CDTF">2026-03-30T23:03:54Z</dcterms:modified>
</cp:coreProperties>
</file>